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91" w:rsidRPr="00FE1BBD" w:rsidRDefault="00891391" w:rsidP="0089139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155"/>
          <w:tab w:val="left" w:pos="1200"/>
        </w:tabs>
        <w:rPr>
          <w:rFonts w:asciiTheme="minorHAnsi" w:hAnsiTheme="minorHAnsi"/>
          <w:lang w:val="de-DE"/>
        </w:rPr>
      </w:pPr>
      <w:r>
        <w:rPr>
          <w:noProof/>
          <w:lang w:val="de-DE"/>
        </w:rPr>
        <w:drawing>
          <wp:inline distT="0" distB="0" distL="0" distR="0" wp14:anchorId="64C87DE5" wp14:editId="7A929B98">
            <wp:extent cx="391886" cy="354322"/>
            <wp:effectExtent l="0" t="0" r="8255" b="825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907" cy="356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49CC">
        <w:rPr>
          <w:rFonts w:ascii="Verdana" w:hAnsi="Verdana"/>
          <w:lang w:val="de-DE"/>
        </w:rPr>
        <w:tab/>
      </w:r>
      <w:r w:rsidRPr="00FE1BBD">
        <w:rPr>
          <w:rFonts w:asciiTheme="minorHAnsi" w:hAnsiTheme="minorHAnsi"/>
          <w:lang w:val="de-DE"/>
        </w:rPr>
        <w:t>Landesbildungsserver Fachredaktion Deutsch (www.deutsch-bw.de)</w:t>
      </w:r>
    </w:p>
    <w:p w:rsidR="005F34C4" w:rsidRPr="00FE1BBD" w:rsidRDefault="00FE1BBD" w:rsidP="00FE1BBD">
      <w:pPr>
        <w:spacing w:before="120"/>
        <w:jc w:val="right"/>
      </w:pPr>
      <w:r w:rsidRPr="00FE1BBD">
        <w:t>FAUST I „Gretchentragödie“</w:t>
      </w:r>
    </w:p>
    <w:p w:rsidR="00FE1BBD" w:rsidRDefault="00FE1BBD" w:rsidP="00CF3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Einstieg in die Gretchentragödie</w:t>
      </w:r>
      <w:r w:rsidR="001B1206">
        <w:rPr>
          <w:sz w:val="24"/>
        </w:rPr>
        <w:t xml:space="preserve"> </w:t>
      </w:r>
    </w:p>
    <w:p w:rsidR="00FE1BBD" w:rsidRPr="00CF3C75" w:rsidRDefault="00FE1BBD" w:rsidP="00796780">
      <w:pPr>
        <w:jc w:val="both"/>
        <w:rPr>
          <w:sz w:val="24"/>
        </w:rPr>
      </w:pPr>
      <w:r w:rsidRPr="00CF3C75">
        <w:rPr>
          <w:sz w:val="24"/>
        </w:rPr>
        <w:t xml:space="preserve">Zunächst </w:t>
      </w:r>
      <w:r w:rsidRPr="00CF3C75">
        <w:rPr>
          <w:b/>
          <w:sz w:val="24"/>
        </w:rPr>
        <w:t>Rückbindung</w:t>
      </w:r>
      <w:bookmarkStart w:id="0" w:name="_GoBack"/>
      <w:bookmarkEnd w:id="0"/>
      <w:r w:rsidRPr="00CF3C75">
        <w:rPr>
          <w:b/>
          <w:sz w:val="24"/>
        </w:rPr>
        <w:t xml:space="preserve"> an „Hexenküche“</w:t>
      </w:r>
      <w:r w:rsidRPr="00CF3C75">
        <w:rPr>
          <w:sz w:val="24"/>
        </w:rPr>
        <w:t xml:space="preserve"> – </w:t>
      </w:r>
      <w:r w:rsidR="00CF3C75" w:rsidRPr="00CF3C75">
        <w:rPr>
          <w:sz w:val="24"/>
        </w:rPr>
        <w:t xml:space="preserve">Die </w:t>
      </w:r>
      <w:r w:rsidRPr="00CF3C75">
        <w:rPr>
          <w:sz w:val="24"/>
        </w:rPr>
        <w:t>Verjüngung Fausts und das Wecken seiner sexuellen Begierde als Vorbereitung auf die Begegnung mit Gretchen soll den Lernenden ins Gedächtnis gerufen werden</w:t>
      </w:r>
      <w:r w:rsidR="00CF3C75" w:rsidRPr="00CF3C75">
        <w:rPr>
          <w:sz w:val="24"/>
        </w:rPr>
        <w:t xml:space="preserve">, </w:t>
      </w:r>
      <w:r w:rsidRPr="00CF3C75">
        <w:rPr>
          <w:sz w:val="24"/>
        </w:rPr>
        <w:t>zum Beispiel</w:t>
      </w:r>
      <w:r w:rsidRPr="00CF3C75">
        <w:rPr>
          <w:b/>
          <w:sz w:val="24"/>
        </w:rPr>
        <w:t xml:space="preserve"> </w:t>
      </w:r>
      <w:r w:rsidRPr="00CF3C75">
        <w:rPr>
          <w:sz w:val="24"/>
        </w:rPr>
        <w:t>indem</w:t>
      </w:r>
      <w:r w:rsidR="00CF3C75" w:rsidRPr="00CF3C75">
        <w:rPr>
          <w:sz w:val="24"/>
        </w:rPr>
        <w:t xml:space="preserve"> eine</w:t>
      </w:r>
      <w:r w:rsidRPr="00CF3C75">
        <w:rPr>
          <w:sz w:val="24"/>
        </w:rPr>
        <w:t xml:space="preserve"> </w:t>
      </w:r>
      <w:hyperlink r:id="rId7" w:history="1">
        <w:r w:rsidRPr="00CF3C75">
          <w:rPr>
            <w:rStyle w:val="Hyperlink"/>
            <w:sz w:val="24"/>
          </w:rPr>
          <w:t>Illustration</w:t>
        </w:r>
      </w:hyperlink>
      <w:r w:rsidRPr="00CF3C75">
        <w:rPr>
          <w:sz w:val="24"/>
        </w:rPr>
        <w:t xml:space="preserve"> oder passende Zitate aus der „Hexenküche“ vorgelegt werden.</w:t>
      </w:r>
    </w:p>
    <w:p w:rsidR="00CF3C75" w:rsidRDefault="00CF3C75" w:rsidP="00CF3C75">
      <w:pPr>
        <w:rPr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17107E34" wp14:editId="6EC64F9A">
            <wp:simplePos x="0" y="0"/>
            <wp:positionH relativeFrom="margin">
              <wp:posOffset>3707130</wp:posOffset>
            </wp:positionH>
            <wp:positionV relativeFrom="margin">
              <wp:posOffset>2182495</wp:posOffset>
            </wp:positionV>
            <wp:extent cx="2661285" cy="1781175"/>
            <wp:effectExtent l="0" t="0" r="5715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3C75">
        <w:rPr>
          <w:b/>
          <w:sz w:val="24"/>
        </w:rPr>
        <w:t xml:space="preserve"> „Gretchentragödie“ </w:t>
      </w:r>
    </w:p>
    <w:p w:rsidR="00796780" w:rsidRPr="00796780" w:rsidRDefault="00CF3C75" w:rsidP="00796780">
      <w:pPr>
        <w:pStyle w:val="Listenabsatz"/>
        <w:numPr>
          <w:ilvl w:val="0"/>
          <w:numId w:val="3"/>
        </w:numPr>
        <w:spacing w:after="0"/>
        <w:jc w:val="both"/>
        <w:rPr>
          <w:sz w:val="28"/>
        </w:rPr>
      </w:pPr>
      <w:r w:rsidRPr="00CF3C75">
        <w:rPr>
          <w:b/>
          <w:noProof/>
          <w:sz w:val="24"/>
          <w:lang w:eastAsia="de-DE"/>
        </w:rPr>
        <w:t>Inszenierungsvergleich</w:t>
      </w:r>
      <w:r w:rsidRPr="00CF3C75">
        <w:rPr>
          <w:noProof/>
          <w:sz w:val="24"/>
          <w:lang w:eastAsia="de-DE"/>
        </w:rPr>
        <w:t xml:space="preserve"> </w:t>
      </w:r>
      <w:r w:rsidR="001B1206">
        <w:rPr>
          <w:noProof/>
          <w:sz w:val="24"/>
          <w:lang w:eastAsia="de-DE"/>
        </w:rPr>
        <w:t xml:space="preserve">der ersten Begnung zwischen Faust und Margarete („Straße“) </w:t>
      </w:r>
      <w:r w:rsidRPr="00CF3C75">
        <w:rPr>
          <w:noProof/>
          <w:sz w:val="24"/>
          <w:lang w:eastAsia="de-DE"/>
        </w:rPr>
        <w:t>anhand von Standbildern</w:t>
      </w:r>
      <w:r w:rsidR="001B1206">
        <w:rPr>
          <w:noProof/>
          <w:sz w:val="24"/>
          <w:lang w:eastAsia="de-DE"/>
        </w:rPr>
        <w:t xml:space="preserve"> verschiedener Inszenierungen</w:t>
      </w:r>
      <w:r w:rsidRPr="00CF3C75">
        <w:rPr>
          <w:noProof/>
          <w:sz w:val="24"/>
          <w:lang w:eastAsia="de-DE"/>
        </w:rPr>
        <w:t xml:space="preserve">, die im Netz zugänglich sind. </w:t>
      </w:r>
    </w:p>
    <w:p w:rsidR="00CF3C75" w:rsidRPr="00796780" w:rsidRDefault="00CF3C75" w:rsidP="00796780">
      <w:pPr>
        <w:spacing w:after="0"/>
        <w:ind w:left="708"/>
        <w:jc w:val="both"/>
        <w:rPr>
          <w:sz w:val="28"/>
        </w:rPr>
      </w:pPr>
      <w:r w:rsidRPr="00796780">
        <w:rPr>
          <w:noProof/>
          <w:sz w:val="24"/>
          <w:lang w:eastAsia="de-DE"/>
        </w:rPr>
        <w:t>Arbeitsauftrag: Vergleiche</w:t>
      </w:r>
      <w:r w:rsidR="001B1206" w:rsidRPr="00796780">
        <w:rPr>
          <w:noProof/>
          <w:sz w:val="24"/>
          <w:lang w:eastAsia="de-DE"/>
        </w:rPr>
        <w:t>n Sie</w:t>
      </w:r>
      <w:r w:rsidRPr="00796780">
        <w:rPr>
          <w:noProof/>
          <w:sz w:val="24"/>
          <w:lang w:eastAsia="de-DE"/>
        </w:rPr>
        <w:t xml:space="preserve"> die Inzenierungen – Material zum Inszenierungsvergleich finden Sie </w:t>
      </w:r>
      <w:hyperlink r:id="rId9" w:history="1">
        <w:r w:rsidRPr="00796780">
          <w:rPr>
            <w:rStyle w:val="Hyperlink"/>
            <w:noProof/>
            <w:sz w:val="24"/>
            <w:lang w:eastAsia="de-DE"/>
          </w:rPr>
          <w:t>hier</w:t>
        </w:r>
      </w:hyperlink>
      <w:r w:rsidRPr="00796780">
        <w:rPr>
          <w:noProof/>
          <w:sz w:val="24"/>
          <w:lang w:eastAsia="de-DE"/>
        </w:rPr>
        <w:t>.</w:t>
      </w:r>
    </w:p>
    <w:p w:rsidR="00796780" w:rsidRDefault="001B1206" w:rsidP="00796780">
      <w:pPr>
        <w:pStyle w:val="Listenabsatz"/>
        <w:numPr>
          <w:ilvl w:val="0"/>
          <w:numId w:val="3"/>
        </w:numPr>
        <w:spacing w:before="240" w:after="0"/>
        <w:contextualSpacing w:val="0"/>
        <w:jc w:val="both"/>
        <w:rPr>
          <w:sz w:val="24"/>
        </w:rPr>
      </w:pPr>
      <w:r w:rsidRPr="00796780">
        <w:rPr>
          <w:noProof/>
          <w:sz w:val="24"/>
          <w:lang w:eastAsia="de-DE"/>
        </w:rPr>
        <w:t xml:space="preserve">Darauf folgt die Aufgabenstellung </w:t>
      </w:r>
      <w:r w:rsidRPr="00796780">
        <w:rPr>
          <w:b/>
          <w:noProof/>
          <w:sz w:val="24"/>
          <w:lang w:eastAsia="de-DE"/>
        </w:rPr>
        <w:t>einzelne Szenen für eine szenische Lesung</w:t>
      </w:r>
      <w:r w:rsidRPr="00796780">
        <w:rPr>
          <w:noProof/>
          <w:sz w:val="24"/>
          <w:lang w:eastAsia="de-DE"/>
        </w:rPr>
        <w:t xml:space="preserve"> vorzubereiten. Dabei wird arbeitsteilig vorgegangen und besonderer Wert auf die Streichung gelegt. Die Szenenauswahl legt </w:t>
      </w:r>
      <w:r w:rsidR="00796780" w:rsidRPr="00796780">
        <w:rPr>
          <w:noProof/>
          <w:sz w:val="24"/>
          <w:lang w:eastAsia="de-DE"/>
        </w:rPr>
        <w:t xml:space="preserve">hier </w:t>
      </w:r>
      <w:r w:rsidRPr="00796780">
        <w:rPr>
          <w:noProof/>
          <w:sz w:val="24"/>
          <w:lang w:eastAsia="de-DE"/>
        </w:rPr>
        <w:t>den Fokus auf das Anbahnen der Beziehung. Dafür sollte eine Doppelstunde angesetzt werden, oder die Streichfassung in einer Hausaufgabe vorbereitet werden.</w:t>
      </w:r>
    </w:p>
    <w:p w:rsidR="00891391" w:rsidRPr="00796780" w:rsidRDefault="00796780" w:rsidP="00796780">
      <w:pPr>
        <w:spacing w:before="240" w:after="0"/>
        <w:ind w:left="360"/>
        <w:rPr>
          <w:sz w:val="24"/>
        </w:rPr>
      </w:pPr>
      <w:r>
        <w:rPr>
          <w:noProof/>
          <w:lang w:eastAsia="de-DE"/>
        </w:rPr>
        <w:drawing>
          <wp:inline distT="0" distB="0" distL="0" distR="0" wp14:anchorId="0CE632FD" wp14:editId="763EC9A1">
            <wp:extent cx="5653825" cy="4064551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3204" cy="407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1391" w:rsidRPr="00796780" w:rsidSect="00796780">
      <w:pgSz w:w="11906" w:h="16838"/>
      <w:pgMar w:top="851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163B"/>
    <w:multiLevelType w:val="hybridMultilevel"/>
    <w:tmpl w:val="1688B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8461C"/>
    <w:multiLevelType w:val="hybridMultilevel"/>
    <w:tmpl w:val="E68AE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E5A1D"/>
    <w:multiLevelType w:val="hybridMultilevel"/>
    <w:tmpl w:val="9FA28C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91"/>
    <w:rsid w:val="001B1206"/>
    <w:rsid w:val="00796780"/>
    <w:rsid w:val="00891391"/>
    <w:rsid w:val="00CF3C75"/>
    <w:rsid w:val="00E8608F"/>
    <w:rsid w:val="00F93E98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913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891391"/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39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E1BB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E1B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913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891391"/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39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E1BB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E1B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museum-digital.de/goethehaus/singleimage.php?objektnum=2790&amp;imagenr=75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schule-bw.de/faecher-und-schularten/sprachen-und-literatur/deutsch/pruefungen/abi/neuethemen/faust/inszenierung.doc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Blennemann</dc:creator>
  <cp:lastModifiedBy>Blennemann</cp:lastModifiedBy>
  <cp:revision>2</cp:revision>
  <dcterms:created xsi:type="dcterms:W3CDTF">2018-11-22T14:14:00Z</dcterms:created>
  <dcterms:modified xsi:type="dcterms:W3CDTF">2018-11-22T14:14:00Z</dcterms:modified>
</cp:coreProperties>
</file>